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A2A71B" w14:textId="77777777" w:rsidR="000E501F" w:rsidRPr="00E506E7" w:rsidRDefault="000E501F" w:rsidP="003A56D5">
      <w:pPr>
        <w:ind w:left="284" w:right="709" w:hanging="284"/>
        <w:rPr>
          <w:rFonts w:ascii="Comic Sans MS" w:eastAsia="Comic Sans MS" w:hAnsi="Comic Sans MS" w:cs="Comic Sans MS"/>
          <w:sz w:val="16"/>
          <w:szCs w:val="16"/>
        </w:rPr>
      </w:pPr>
    </w:p>
    <w:p w14:paraId="3DF16B58" w14:textId="77777777" w:rsidR="000E501F" w:rsidRPr="00E506E7" w:rsidRDefault="000E501F" w:rsidP="003A56D5">
      <w:pPr>
        <w:ind w:left="284" w:right="709" w:hanging="284"/>
        <w:rPr>
          <w:rFonts w:ascii="Comic Sans MS" w:eastAsia="Comic Sans MS" w:hAnsi="Comic Sans MS" w:cs="Comic Sans MS"/>
          <w:color w:val="4472C4"/>
          <w:sz w:val="16"/>
          <w:szCs w:val="16"/>
        </w:rPr>
      </w:pPr>
    </w:p>
    <w:p w14:paraId="71AFD686" w14:textId="77777777" w:rsidR="000E501F" w:rsidRPr="00E506E7" w:rsidRDefault="000E501F" w:rsidP="003A56D5">
      <w:pPr>
        <w:ind w:left="284" w:right="709" w:hanging="284"/>
        <w:rPr>
          <w:rFonts w:ascii="Comic Sans MS" w:eastAsia="Comic Sans MS" w:hAnsi="Comic Sans MS" w:cs="Comic Sans MS"/>
          <w:sz w:val="16"/>
          <w:szCs w:val="16"/>
          <w:u w:val="single"/>
        </w:rPr>
      </w:pPr>
    </w:p>
    <w:p w14:paraId="01C5BE6E" w14:textId="050E829C" w:rsidR="000E501F" w:rsidRPr="00E506E7" w:rsidRDefault="006140C6" w:rsidP="003A56D5">
      <w:pPr>
        <w:ind w:left="284" w:right="709" w:hanging="284"/>
        <w:rPr>
          <w:rFonts w:ascii="Comic Sans MS" w:eastAsia="Comic Sans MS" w:hAnsi="Comic Sans MS" w:cs="Comic Sans MS"/>
          <w:sz w:val="16"/>
          <w:szCs w:val="16"/>
        </w:rPr>
      </w:pPr>
      <w:r w:rsidRPr="00E506E7">
        <w:rPr>
          <w:rFonts w:ascii="Comic Sans MS" w:eastAsia="Comic Sans MS" w:hAnsi="Comic Sans MS" w:cs="Comic Sans MS"/>
          <w:b/>
          <w:sz w:val="16"/>
          <w:szCs w:val="16"/>
          <w:u w:val="single"/>
        </w:rPr>
        <w:t>Question</w:t>
      </w:r>
      <w:r w:rsidR="00CE43D2">
        <w:rPr>
          <w:rFonts w:ascii="Comic Sans MS" w:eastAsia="Comic Sans MS" w:hAnsi="Comic Sans MS" w:cs="Comic Sans MS"/>
          <w:b/>
          <w:sz w:val="16"/>
          <w:szCs w:val="16"/>
          <w:u w:val="single"/>
        </w:rPr>
        <w:t xml:space="preserve"> </w:t>
      </w:r>
      <w:r w:rsidR="00747E94" w:rsidRPr="00E506E7">
        <w:rPr>
          <w:rFonts w:ascii="Comic Sans MS" w:eastAsia="Comic Sans MS" w:hAnsi="Comic Sans MS" w:cs="Comic Sans MS"/>
          <w:b/>
          <w:sz w:val="16"/>
          <w:szCs w:val="16"/>
        </w:rPr>
        <w:t>: (4</w:t>
      </w:r>
      <w:r w:rsidRPr="00E506E7">
        <w:rPr>
          <w:rFonts w:ascii="Comic Sans MS" w:eastAsia="Comic Sans MS" w:hAnsi="Comic Sans MS" w:cs="Comic Sans MS"/>
          <w:b/>
          <w:sz w:val="16"/>
          <w:szCs w:val="16"/>
        </w:rPr>
        <w:t xml:space="preserve"> pts) </w:t>
      </w:r>
    </w:p>
    <w:p w14:paraId="1A273D3B" w14:textId="77777777" w:rsidR="000E501F" w:rsidRPr="00E506E7" w:rsidRDefault="000E501F" w:rsidP="003A56D5">
      <w:pPr>
        <w:ind w:left="284" w:right="709" w:hanging="284"/>
        <w:rPr>
          <w:rFonts w:ascii="Comic Sans MS" w:eastAsia="Comic Sans MS" w:hAnsi="Comic Sans MS" w:cs="Comic Sans MS"/>
          <w:color w:val="0070C0"/>
          <w:sz w:val="16"/>
          <w:szCs w:val="16"/>
        </w:rPr>
      </w:pPr>
    </w:p>
    <w:p w14:paraId="6E64CDE9" w14:textId="77777777" w:rsidR="000E501F" w:rsidRPr="00E506E7" w:rsidRDefault="006140C6" w:rsidP="003A56D5">
      <w:pPr>
        <w:pBdr>
          <w:top w:val="nil"/>
          <w:left w:val="nil"/>
          <w:bottom w:val="nil"/>
          <w:right w:val="nil"/>
          <w:between w:val="nil"/>
        </w:pBdr>
        <w:ind w:left="284" w:right="709" w:hanging="284"/>
        <w:rPr>
          <w:rFonts w:ascii="Comic Sans MS" w:eastAsia="Comic Sans MS" w:hAnsi="Comic Sans MS" w:cs="Comic Sans MS"/>
          <w:color w:val="FF0000"/>
          <w:sz w:val="16"/>
          <w:szCs w:val="16"/>
        </w:rPr>
      </w:pPr>
      <w:r w:rsidRPr="00E506E7">
        <w:rPr>
          <w:rFonts w:ascii="Comic Sans MS" w:eastAsia="Comic Sans MS" w:hAnsi="Comic Sans MS" w:cs="Comic Sans MS"/>
          <w:color w:val="000000"/>
          <w:sz w:val="16"/>
          <w:szCs w:val="16"/>
        </w:rPr>
        <w:t xml:space="preserve">Donnez les différences entre le modèle Bühlmann et le modèle RGBM (ou VPM). </w:t>
      </w:r>
      <w:r w:rsidR="00747E94" w:rsidRPr="00E506E7">
        <w:rPr>
          <w:rFonts w:ascii="Comic Sans MS" w:eastAsia="Comic Sans MS" w:hAnsi="Comic Sans MS" w:cs="Comic Sans MS"/>
          <w:color w:val="FF0000"/>
          <w:sz w:val="16"/>
          <w:szCs w:val="16"/>
        </w:rPr>
        <w:t>(4</w:t>
      </w:r>
      <w:r w:rsidRPr="00E506E7">
        <w:rPr>
          <w:rFonts w:ascii="Comic Sans MS" w:eastAsia="Comic Sans MS" w:hAnsi="Comic Sans MS" w:cs="Comic Sans MS"/>
          <w:color w:val="FF0000"/>
          <w:sz w:val="16"/>
          <w:szCs w:val="16"/>
        </w:rPr>
        <w:t xml:space="preserve"> pts)</w:t>
      </w:r>
    </w:p>
    <w:p w14:paraId="2C3C4D72" w14:textId="4F399AC2" w:rsidR="000E501F" w:rsidRDefault="006140C6" w:rsidP="003A56D5">
      <w:pPr>
        <w:pBdr>
          <w:top w:val="nil"/>
          <w:left w:val="nil"/>
          <w:bottom w:val="nil"/>
          <w:right w:val="nil"/>
          <w:between w:val="nil"/>
        </w:pBdr>
        <w:spacing w:line="276" w:lineRule="auto"/>
        <w:ind w:left="284" w:right="709"/>
        <w:rPr>
          <w:rFonts w:ascii="Comic Sans MS" w:eastAsia="Comic Sans MS" w:hAnsi="Comic Sans MS" w:cs="Comic Sans MS"/>
          <w:color w:val="4472C4"/>
          <w:sz w:val="16"/>
          <w:szCs w:val="16"/>
        </w:rPr>
      </w:pPr>
      <w:r w:rsidRPr="00E506E7">
        <w:rPr>
          <w:rFonts w:ascii="Comic Sans MS" w:eastAsia="Comic Sans MS" w:hAnsi="Comic Sans MS" w:cs="Comic Sans MS"/>
          <w:color w:val="4472C4"/>
          <w:sz w:val="16"/>
          <w:szCs w:val="16"/>
        </w:rPr>
        <w:t xml:space="preserve">Le modèle Bühlmann est dérivé du </w:t>
      </w:r>
      <w:r w:rsidR="006209D6" w:rsidRPr="00E506E7">
        <w:rPr>
          <w:rFonts w:ascii="Comic Sans MS" w:eastAsia="Comic Sans MS" w:hAnsi="Comic Sans MS" w:cs="Comic Sans MS"/>
          <w:color w:val="4472C4"/>
          <w:sz w:val="16"/>
          <w:szCs w:val="16"/>
          <w:u w:val="single"/>
        </w:rPr>
        <w:t>modèle h</w:t>
      </w:r>
      <w:r w:rsidRPr="00E506E7">
        <w:rPr>
          <w:rFonts w:ascii="Comic Sans MS" w:eastAsia="Comic Sans MS" w:hAnsi="Comic Sans MS" w:cs="Comic Sans MS"/>
          <w:color w:val="4472C4"/>
          <w:sz w:val="16"/>
          <w:szCs w:val="16"/>
          <w:u w:val="single"/>
        </w:rPr>
        <w:t>aldanien</w:t>
      </w:r>
      <w:r w:rsidRPr="00E506E7">
        <w:rPr>
          <w:rFonts w:ascii="Comic Sans MS" w:eastAsia="Comic Sans MS" w:hAnsi="Comic Sans MS" w:cs="Comic Sans MS"/>
          <w:color w:val="4472C4"/>
          <w:sz w:val="16"/>
          <w:szCs w:val="16"/>
        </w:rPr>
        <w:t xml:space="preserve">, dans la mesure où tous les calculs sont basés sur </w:t>
      </w:r>
      <w:r w:rsidRPr="00E506E7">
        <w:rPr>
          <w:rFonts w:ascii="Comic Sans MS" w:eastAsia="Comic Sans MS" w:hAnsi="Comic Sans MS" w:cs="Comic Sans MS"/>
          <w:color w:val="4472C4"/>
          <w:sz w:val="16"/>
          <w:szCs w:val="16"/>
          <w:u w:val="single"/>
        </w:rPr>
        <w:t>l’azote dissous (en phase liquide avec la loi de Henry),</w:t>
      </w:r>
      <w:r w:rsidRPr="00E506E7">
        <w:rPr>
          <w:rFonts w:ascii="Comic Sans MS" w:eastAsia="Comic Sans MS" w:hAnsi="Comic Sans MS" w:cs="Comic Sans MS"/>
          <w:color w:val="4472C4"/>
          <w:sz w:val="16"/>
          <w:szCs w:val="16"/>
        </w:rPr>
        <w:t xml:space="preserve"> mais au lieu d’utiliser la composition de l’air inspiré, il prend en compte la composition de l’air alvéolaire pour calculer la tension d’azote fixée dans les compartiments. De plus, ce modèle repose sur un échantillonnage de </w:t>
      </w:r>
      <w:r w:rsidRPr="00E506E7">
        <w:rPr>
          <w:rFonts w:ascii="Comic Sans MS" w:eastAsia="Comic Sans MS" w:hAnsi="Comic Sans MS" w:cs="Comic Sans MS"/>
          <w:color w:val="4472C4"/>
          <w:sz w:val="16"/>
          <w:szCs w:val="16"/>
          <w:u w:val="single"/>
        </w:rPr>
        <w:t>plusieurs compartiments</w:t>
      </w:r>
      <w:r w:rsidRPr="00E506E7">
        <w:rPr>
          <w:rFonts w:ascii="Comic Sans MS" w:eastAsia="Comic Sans MS" w:hAnsi="Comic Sans MS" w:cs="Comic Sans MS"/>
          <w:color w:val="4472C4"/>
          <w:sz w:val="16"/>
          <w:szCs w:val="16"/>
        </w:rPr>
        <w:t xml:space="preserve"> à chacun desquels a été attribué </w:t>
      </w:r>
      <w:r w:rsidRPr="00E506E7">
        <w:rPr>
          <w:rFonts w:ascii="Comic Sans MS" w:eastAsia="Comic Sans MS" w:hAnsi="Comic Sans MS" w:cs="Comic Sans MS"/>
          <w:color w:val="4472C4"/>
          <w:sz w:val="16"/>
          <w:szCs w:val="16"/>
          <w:u w:val="single"/>
        </w:rPr>
        <w:t>des couples de M-values</w:t>
      </w:r>
      <w:r w:rsidRPr="00E506E7">
        <w:rPr>
          <w:rFonts w:ascii="Comic Sans MS" w:eastAsia="Comic Sans MS" w:hAnsi="Comic Sans MS" w:cs="Comic Sans MS"/>
          <w:color w:val="4472C4"/>
          <w:sz w:val="16"/>
          <w:szCs w:val="16"/>
        </w:rPr>
        <w:t xml:space="preserve"> variables avec la profondeur pour un compartiment donné (qui représentent </w:t>
      </w:r>
      <w:r w:rsidRPr="00E506E7">
        <w:rPr>
          <w:rFonts w:ascii="Comic Sans MS" w:eastAsia="Comic Sans MS" w:hAnsi="Comic Sans MS" w:cs="Comic Sans MS"/>
          <w:color w:val="4472C4"/>
          <w:sz w:val="16"/>
          <w:szCs w:val="16"/>
          <w:u w:val="single"/>
        </w:rPr>
        <w:t>la capacité maximale</w:t>
      </w:r>
      <w:r w:rsidRPr="00E506E7">
        <w:rPr>
          <w:rFonts w:ascii="Comic Sans MS" w:eastAsia="Comic Sans MS" w:hAnsi="Comic Sans MS" w:cs="Comic Sans MS"/>
          <w:color w:val="4472C4"/>
          <w:sz w:val="16"/>
          <w:szCs w:val="16"/>
        </w:rPr>
        <w:t xml:space="preserve"> de dissolution) et une période (représentative de la </w:t>
      </w:r>
      <w:r w:rsidRPr="00E506E7">
        <w:rPr>
          <w:rFonts w:ascii="Comic Sans MS" w:eastAsia="Comic Sans MS" w:hAnsi="Comic Sans MS" w:cs="Comic Sans MS"/>
          <w:color w:val="4472C4"/>
          <w:sz w:val="16"/>
          <w:szCs w:val="16"/>
          <w:u w:val="single"/>
        </w:rPr>
        <w:t>vitesse de perfusion</w:t>
      </w:r>
      <w:r w:rsidRPr="00E506E7">
        <w:rPr>
          <w:rFonts w:ascii="Comic Sans MS" w:eastAsia="Comic Sans MS" w:hAnsi="Comic Sans MS" w:cs="Comic Sans MS"/>
          <w:color w:val="4472C4"/>
          <w:sz w:val="16"/>
          <w:szCs w:val="16"/>
        </w:rPr>
        <w:t>). Le modèle de Bühlmann ne s’intéresse, lors de la désaturation, qu’à la phase dissoute du gaz.</w:t>
      </w:r>
    </w:p>
    <w:p w14:paraId="6FF2F444" w14:textId="77777777" w:rsidR="00BA08C6" w:rsidRPr="00E506E7" w:rsidRDefault="00BA08C6" w:rsidP="003A56D5">
      <w:pPr>
        <w:pBdr>
          <w:top w:val="nil"/>
          <w:left w:val="nil"/>
          <w:bottom w:val="nil"/>
          <w:right w:val="nil"/>
          <w:between w:val="nil"/>
        </w:pBdr>
        <w:spacing w:line="276" w:lineRule="auto"/>
        <w:ind w:left="284" w:right="709"/>
        <w:rPr>
          <w:rFonts w:ascii="Comic Sans MS" w:eastAsia="Comic Sans MS" w:hAnsi="Comic Sans MS" w:cs="Comic Sans MS"/>
          <w:color w:val="4472C4"/>
          <w:sz w:val="16"/>
          <w:szCs w:val="16"/>
        </w:rPr>
      </w:pPr>
    </w:p>
    <w:p w14:paraId="2073D42D" w14:textId="77777777" w:rsidR="000E501F" w:rsidRPr="00E506E7" w:rsidRDefault="006140C6" w:rsidP="003A56D5">
      <w:pPr>
        <w:pBdr>
          <w:top w:val="nil"/>
          <w:left w:val="nil"/>
          <w:bottom w:val="nil"/>
          <w:right w:val="nil"/>
          <w:between w:val="nil"/>
        </w:pBdr>
        <w:spacing w:line="276" w:lineRule="auto"/>
        <w:ind w:left="284" w:right="709"/>
        <w:rPr>
          <w:rFonts w:ascii="Comic Sans MS" w:eastAsia="Comic Sans MS" w:hAnsi="Comic Sans MS" w:cs="Comic Sans MS"/>
          <w:color w:val="4472C4"/>
          <w:sz w:val="16"/>
          <w:szCs w:val="16"/>
        </w:rPr>
      </w:pPr>
      <w:r w:rsidRPr="00E506E7">
        <w:rPr>
          <w:rFonts w:ascii="Comic Sans MS" w:eastAsia="Comic Sans MS" w:hAnsi="Comic Sans MS" w:cs="Comic Sans MS"/>
          <w:color w:val="4472C4"/>
          <w:sz w:val="16"/>
          <w:szCs w:val="16"/>
        </w:rPr>
        <w:t>Les modèles dits à bulles (</w:t>
      </w:r>
      <w:r w:rsidRPr="00E506E7">
        <w:rPr>
          <w:rFonts w:ascii="Comic Sans MS" w:eastAsia="Comic Sans MS" w:hAnsi="Comic Sans MS" w:cs="Comic Sans MS"/>
          <w:color w:val="4472C4"/>
          <w:sz w:val="16"/>
          <w:szCs w:val="16"/>
          <w:u w:val="single"/>
        </w:rPr>
        <w:t>RGBM ou VPM</w:t>
      </w:r>
      <w:r w:rsidRPr="00E506E7">
        <w:rPr>
          <w:rFonts w:ascii="Comic Sans MS" w:eastAsia="Comic Sans MS" w:hAnsi="Comic Sans MS" w:cs="Comic Sans MS"/>
          <w:color w:val="4472C4"/>
          <w:sz w:val="16"/>
          <w:szCs w:val="16"/>
        </w:rPr>
        <w:t xml:space="preserve">) s’intéressent à la </w:t>
      </w:r>
      <w:r w:rsidRPr="00E506E7">
        <w:rPr>
          <w:rFonts w:ascii="Comic Sans MS" w:eastAsia="Comic Sans MS" w:hAnsi="Comic Sans MS" w:cs="Comic Sans MS"/>
          <w:color w:val="4472C4"/>
          <w:sz w:val="16"/>
          <w:szCs w:val="16"/>
          <w:u w:val="single"/>
        </w:rPr>
        <w:t>phase gazeuse</w:t>
      </w:r>
      <w:r w:rsidRPr="00E506E7">
        <w:rPr>
          <w:rFonts w:ascii="Comic Sans MS" w:eastAsia="Comic Sans MS" w:hAnsi="Comic Sans MS" w:cs="Comic Sans MS"/>
          <w:color w:val="4472C4"/>
          <w:sz w:val="16"/>
          <w:szCs w:val="16"/>
        </w:rPr>
        <w:t xml:space="preserve"> du gaz lors de la désaturation, et ont un algorithme basé sur le calcul du nombre et la croissance des bulles en phase gazeuse, avec des équations spécifiques de transfert de l’azote entre le liquide et les bulles. Ils stipulent que le plongeur commence sa plongée </w:t>
      </w:r>
      <w:r w:rsidRPr="00E506E7">
        <w:rPr>
          <w:rFonts w:ascii="Comic Sans MS" w:eastAsia="Comic Sans MS" w:hAnsi="Comic Sans MS" w:cs="Comic Sans MS"/>
          <w:color w:val="4472C4"/>
          <w:sz w:val="16"/>
          <w:szCs w:val="16"/>
          <w:u w:val="single"/>
        </w:rPr>
        <w:t>avec un nombre de noyaux gazeux</w:t>
      </w:r>
      <w:r w:rsidRPr="00E506E7">
        <w:rPr>
          <w:rFonts w:ascii="Comic Sans MS" w:eastAsia="Comic Sans MS" w:hAnsi="Comic Sans MS" w:cs="Comic Sans MS"/>
          <w:color w:val="4472C4"/>
          <w:sz w:val="16"/>
          <w:szCs w:val="16"/>
        </w:rPr>
        <w:t xml:space="preserve"> présents physiologiquement </w:t>
      </w:r>
      <w:r w:rsidRPr="00E506E7">
        <w:rPr>
          <w:rFonts w:ascii="Comic Sans MS" w:eastAsia="Comic Sans MS" w:hAnsi="Comic Sans MS" w:cs="Comic Sans MS"/>
          <w:color w:val="4472C4"/>
          <w:sz w:val="16"/>
          <w:szCs w:val="16"/>
          <w:u w:val="single"/>
        </w:rPr>
        <w:t>(nombre et taille déterminés au départ).</w:t>
      </w:r>
      <w:r w:rsidRPr="00E506E7">
        <w:rPr>
          <w:rFonts w:ascii="Comic Sans MS" w:eastAsia="Comic Sans MS" w:hAnsi="Comic Sans MS" w:cs="Comic Sans MS"/>
          <w:color w:val="4472C4"/>
          <w:sz w:val="16"/>
          <w:szCs w:val="16"/>
        </w:rPr>
        <w:t xml:space="preserve"> Au cours de la plongée, les effets des variations de pression ambiante provoquent des </w:t>
      </w:r>
      <w:r w:rsidRPr="00E506E7">
        <w:rPr>
          <w:rFonts w:ascii="Comic Sans MS" w:eastAsia="Comic Sans MS" w:hAnsi="Comic Sans MS" w:cs="Comic Sans MS"/>
          <w:color w:val="4472C4"/>
          <w:sz w:val="16"/>
          <w:szCs w:val="16"/>
          <w:u w:val="single"/>
        </w:rPr>
        <w:t>variations de ces micro-noyaux</w:t>
      </w:r>
      <w:r w:rsidRPr="00E506E7">
        <w:rPr>
          <w:rFonts w:ascii="Comic Sans MS" w:eastAsia="Comic Sans MS" w:hAnsi="Comic Sans MS" w:cs="Comic Sans MS"/>
          <w:color w:val="4472C4"/>
          <w:sz w:val="16"/>
          <w:szCs w:val="16"/>
        </w:rPr>
        <w:t xml:space="preserve"> pouvant provoquer la formation de bulles plus importantes. Ce phénomène est réduit par le fait de faire une remontée lente et des paliers plus profonds.</w:t>
      </w:r>
    </w:p>
    <w:p w14:paraId="169F79F3" w14:textId="77777777" w:rsidR="0044527F" w:rsidRPr="00E506E7" w:rsidRDefault="0044527F" w:rsidP="003A56D5">
      <w:pPr>
        <w:ind w:left="284" w:right="709" w:hanging="284"/>
        <w:rPr>
          <w:rFonts w:ascii="Comic Sans MS" w:eastAsia="Comic Sans MS" w:hAnsi="Comic Sans MS" w:cs="Comic Sans MS"/>
          <w:color w:val="4472C4"/>
          <w:sz w:val="16"/>
          <w:szCs w:val="16"/>
        </w:rPr>
      </w:pPr>
    </w:p>
    <w:p w14:paraId="7F160A35" w14:textId="77777777" w:rsidR="0044527F" w:rsidRPr="00E506E7" w:rsidRDefault="0044527F" w:rsidP="00896F65">
      <w:pPr>
        <w:ind w:left="568" w:right="709" w:hanging="284"/>
        <w:rPr>
          <w:rFonts w:ascii="Comic Sans MS" w:eastAsia="Comic Sans MS" w:hAnsi="Comic Sans MS" w:cs="Comic Sans MS"/>
          <w:color w:val="4472C4"/>
          <w:sz w:val="16"/>
          <w:szCs w:val="16"/>
        </w:rPr>
      </w:pPr>
      <w:r w:rsidRPr="00E506E7">
        <w:rPr>
          <w:rFonts w:ascii="Comic Sans MS" w:eastAsia="Comic Sans MS" w:hAnsi="Comic Sans MS" w:cs="Comic Sans MS"/>
          <w:color w:val="4472C4"/>
          <w:sz w:val="16"/>
          <w:szCs w:val="16"/>
        </w:rPr>
        <w:t>Les notions soulignées devront impérativement apparaître dans la réponse formulée.</w:t>
      </w:r>
    </w:p>
    <w:p w14:paraId="24D8537E" w14:textId="77777777" w:rsidR="000E501F" w:rsidRPr="00E506E7" w:rsidRDefault="000E501F" w:rsidP="003A56D5">
      <w:pPr>
        <w:pBdr>
          <w:top w:val="nil"/>
          <w:left w:val="nil"/>
          <w:bottom w:val="nil"/>
          <w:right w:val="nil"/>
          <w:between w:val="nil"/>
        </w:pBdr>
        <w:ind w:left="284" w:right="709" w:hanging="720"/>
        <w:rPr>
          <w:rFonts w:ascii="Comic Sans MS" w:eastAsia="Comic Sans MS" w:hAnsi="Comic Sans MS" w:cs="Comic Sans MS"/>
          <w:color w:val="000000"/>
          <w:sz w:val="16"/>
          <w:szCs w:val="16"/>
        </w:rPr>
      </w:pPr>
    </w:p>
    <w:sectPr w:rsidR="000E501F" w:rsidRPr="00E506E7" w:rsidSect="003A56D5">
      <w:headerReference w:type="even" r:id="rId7"/>
      <w:headerReference w:type="default" r:id="rId8"/>
      <w:footerReference w:type="even" r:id="rId9"/>
      <w:footerReference w:type="default" r:id="rId10"/>
      <w:headerReference w:type="first" r:id="rId11"/>
      <w:footerReference w:type="first" r:id="rId12"/>
      <w:pgSz w:w="11906" w:h="16838"/>
      <w:pgMar w:top="1135" w:right="707" w:bottom="1135" w:left="709"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28F8DF" w14:textId="77777777" w:rsidR="008B058B" w:rsidRDefault="008B058B">
      <w:r>
        <w:separator/>
      </w:r>
    </w:p>
  </w:endnote>
  <w:endnote w:type="continuationSeparator" w:id="0">
    <w:p w14:paraId="4B9A3677" w14:textId="77777777" w:rsidR="008B058B" w:rsidRDefault="008B0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1A10D" w14:textId="77777777" w:rsidR="000E501F" w:rsidRDefault="006140C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27FC3C14" w14:textId="77777777" w:rsidR="000E501F" w:rsidRDefault="000E501F">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72A9E" w14:textId="77777777" w:rsidR="000E501F" w:rsidRDefault="006140C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6209D6">
      <w:rPr>
        <w:noProof/>
        <w:color w:val="000000"/>
        <w:sz w:val="16"/>
        <w:szCs w:val="16"/>
      </w:rPr>
      <w:t>5</w:t>
    </w:r>
    <w:r>
      <w:rPr>
        <w:color w:val="000000"/>
        <w:sz w:val="16"/>
        <w:szCs w:val="16"/>
      </w:rPr>
      <w:fldChar w:fldCharType="end"/>
    </w:r>
  </w:p>
  <w:p w14:paraId="479AC6EA" w14:textId="77777777" w:rsidR="000E501F" w:rsidRDefault="000E501F">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6D02DA" w14:textId="77777777" w:rsidR="0052650C" w:rsidRDefault="005265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BE4E1D" w14:textId="77777777" w:rsidR="008B058B" w:rsidRDefault="008B058B">
      <w:r>
        <w:separator/>
      </w:r>
    </w:p>
  </w:footnote>
  <w:footnote w:type="continuationSeparator" w:id="0">
    <w:p w14:paraId="134F3900" w14:textId="77777777" w:rsidR="008B058B" w:rsidRDefault="008B0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237D9" w14:textId="77777777" w:rsidR="0052650C" w:rsidRDefault="005265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
      <w:tblW w:w="10089" w:type="dxa"/>
      <w:tblInd w:w="0" w:type="dxa"/>
      <w:tblLayout w:type="fixed"/>
      <w:tblLook w:val="0000" w:firstRow="0" w:lastRow="0" w:firstColumn="0" w:lastColumn="0" w:noHBand="0" w:noVBand="0"/>
    </w:tblPr>
    <w:tblGrid>
      <w:gridCol w:w="5044"/>
      <w:gridCol w:w="5045"/>
    </w:tblGrid>
    <w:tr w:rsidR="000E501F" w14:paraId="15D5502B" w14:textId="77777777">
      <w:tc>
        <w:tcPr>
          <w:tcW w:w="5044" w:type="dxa"/>
        </w:tcPr>
        <w:p w14:paraId="0EBCABB2" w14:textId="77777777" w:rsidR="000E501F" w:rsidRDefault="00854ED9">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anchor distT="0" distB="0" distL="114300" distR="114300" simplePos="0" relativeHeight="251658240" behindDoc="0" locked="0" layoutInCell="1" allowOverlap="1" wp14:anchorId="7C741B81" wp14:editId="0D501010">
                <wp:simplePos x="0" y="0"/>
                <wp:positionH relativeFrom="column">
                  <wp:posOffset>-344170</wp:posOffset>
                </wp:positionH>
                <wp:positionV relativeFrom="paragraph">
                  <wp:posOffset>-264160</wp:posOffset>
                </wp:positionV>
                <wp:extent cx="1691005" cy="761365"/>
                <wp:effectExtent l="0" t="0" r="4445" b="635"/>
                <wp:wrapSquare wrapText="bothSides"/>
                <wp:docPr id="56" name="image1.png" descr="Description : COM%20TEC"/>
                <wp:cNvGraphicFramePr/>
                <a:graphic xmlns:a="http://schemas.openxmlformats.org/drawingml/2006/main">
                  <a:graphicData uri="http://schemas.openxmlformats.org/drawingml/2006/picture">
                    <pic:pic xmlns:pic="http://schemas.openxmlformats.org/drawingml/2006/picture">
                      <pic:nvPicPr>
                        <pic:cNvPr id="0" name="image1.png" descr="Description : COM%20TEC"/>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691005" cy="761365"/>
                        </a:xfrm>
                        <a:prstGeom prst="rect">
                          <a:avLst/>
                        </a:prstGeom>
                        <a:ln/>
                      </pic:spPr>
                    </pic:pic>
                  </a:graphicData>
                </a:graphic>
              </wp:anchor>
            </w:drawing>
          </w:r>
        </w:p>
      </w:tc>
      <w:tc>
        <w:tcPr>
          <w:tcW w:w="5045" w:type="dxa"/>
        </w:tcPr>
        <w:p w14:paraId="40FBC585" w14:textId="76B9463B" w:rsidR="000E501F" w:rsidRPr="0052650C" w:rsidRDefault="006140C6" w:rsidP="0052650C">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337134B9" w14:textId="77777777" w:rsidR="000E501F" w:rsidRDefault="000E501F">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FA8C3" w14:textId="77777777" w:rsidR="0052650C" w:rsidRDefault="005265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C7743"/>
    <w:multiLevelType w:val="multilevel"/>
    <w:tmpl w:val="255A51C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812148E"/>
    <w:multiLevelType w:val="multilevel"/>
    <w:tmpl w:val="5E3CBF04"/>
    <w:lvl w:ilvl="0">
      <w:start w:val="2"/>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F967832"/>
    <w:multiLevelType w:val="multilevel"/>
    <w:tmpl w:val="F39A15EC"/>
    <w:lvl w:ilvl="0">
      <w:start w:val="1"/>
      <w:numFmt w:val="lowerLetter"/>
      <w:lvlText w:val="%1)"/>
      <w:lvlJc w:val="left"/>
      <w:pPr>
        <w:ind w:left="2028" w:hanging="360"/>
      </w:pPr>
      <w:rPr>
        <w:vertAlign w:val="baseline"/>
      </w:rPr>
    </w:lvl>
    <w:lvl w:ilvl="1">
      <w:start w:val="1"/>
      <w:numFmt w:val="lowerLetter"/>
      <w:lvlText w:val="%2."/>
      <w:lvlJc w:val="left"/>
      <w:pPr>
        <w:ind w:left="2748" w:hanging="360"/>
      </w:pPr>
      <w:rPr>
        <w:vertAlign w:val="baseline"/>
      </w:rPr>
    </w:lvl>
    <w:lvl w:ilvl="2">
      <w:start w:val="1"/>
      <w:numFmt w:val="lowerRoman"/>
      <w:lvlText w:val="%3."/>
      <w:lvlJc w:val="right"/>
      <w:pPr>
        <w:ind w:left="3468" w:hanging="180"/>
      </w:pPr>
      <w:rPr>
        <w:vertAlign w:val="baseline"/>
      </w:rPr>
    </w:lvl>
    <w:lvl w:ilvl="3">
      <w:start w:val="1"/>
      <w:numFmt w:val="decimal"/>
      <w:lvlText w:val="%4."/>
      <w:lvlJc w:val="left"/>
      <w:pPr>
        <w:ind w:left="4188" w:hanging="360"/>
      </w:pPr>
      <w:rPr>
        <w:vertAlign w:val="baseline"/>
      </w:rPr>
    </w:lvl>
    <w:lvl w:ilvl="4">
      <w:start w:val="1"/>
      <w:numFmt w:val="lowerLetter"/>
      <w:lvlText w:val="%5."/>
      <w:lvlJc w:val="left"/>
      <w:pPr>
        <w:ind w:left="4908" w:hanging="360"/>
      </w:pPr>
      <w:rPr>
        <w:vertAlign w:val="baseline"/>
      </w:rPr>
    </w:lvl>
    <w:lvl w:ilvl="5">
      <w:start w:val="1"/>
      <w:numFmt w:val="lowerRoman"/>
      <w:lvlText w:val="%6."/>
      <w:lvlJc w:val="right"/>
      <w:pPr>
        <w:ind w:left="5628" w:hanging="180"/>
      </w:pPr>
      <w:rPr>
        <w:vertAlign w:val="baseline"/>
      </w:rPr>
    </w:lvl>
    <w:lvl w:ilvl="6">
      <w:start w:val="1"/>
      <w:numFmt w:val="decimal"/>
      <w:lvlText w:val="%7."/>
      <w:lvlJc w:val="left"/>
      <w:pPr>
        <w:ind w:left="6348" w:hanging="360"/>
      </w:pPr>
      <w:rPr>
        <w:vertAlign w:val="baseline"/>
      </w:rPr>
    </w:lvl>
    <w:lvl w:ilvl="7">
      <w:start w:val="1"/>
      <w:numFmt w:val="lowerLetter"/>
      <w:lvlText w:val="%8."/>
      <w:lvlJc w:val="left"/>
      <w:pPr>
        <w:ind w:left="7068" w:hanging="360"/>
      </w:pPr>
      <w:rPr>
        <w:vertAlign w:val="baseline"/>
      </w:rPr>
    </w:lvl>
    <w:lvl w:ilvl="8">
      <w:start w:val="1"/>
      <w:numFmt w:val="lowerRoman"/>
      <w:lvlText w:val="%9."/>
      <w:lvlJc w:val="right"/>
      <w:pPr>
        <w:ind w:left="7788" w:hanging="180"/>
      </w:pPr>
      <w:rPr>
        <w:vertAlign w:val="baseline"/>
      </w:rPr>
    </w:lvl>
  </w:abstractNum>
  <w:abstractNum w:abstractNumId="3" w15:restartNumberingAfterBreak="0">
    <w:nsid w:val="29707B2C"/>
    <w:multiLevelType w:val="multilevel"/>
    <w:tmpl w:val="4A1A2F3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2AE010BB"/>
    <w:multiLevelType w:val="multilevel"/>
    <w:tmpl w:val="17C2D09A"/>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334176C3"/>
    <w:multiLevelType w:val="multilevel"/>
    <w:tmpl w:val="DD303C4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15:restartNumberingAfterBreak="0">
    <w:nsid w:val="3815394F"/>
    <w:multiLevelType w:val="multilevel"/>
    <w:tmpl w:val="9862828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5A925DC2"/>
    <w:multiLevelType w:val="multilevel"/>
    <w:tmpl w:val="6FF6C43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611368AF"/>
    <w:multiLevelType w:val="multilevel"/>
    <w:tmpl w:val="A522B54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8"/>
  </w:num>
  <w:num w:numId="2">
    <w:abstractNumId w:val="6"/>
  </w:num>
  <w:num w:numId="3">
    <w:abstractNumId w:val="2"/>
  </w:num>
  <w:num w:numId="4">
    <w:abstractNumId w:val="4"/>
  </w:num>
  <w:num w:numId="5">
    <w:abstractNumId w:val="1"/>
  </w:num>
  <w:num w:numId="6">
    <w:abstractNumId w:val="7"/>
  </w:num>
  <w:num w:numId="7">
    <w:abstractNumId w:val="3"/>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01F"/>
    <w:rsid w:val="000E501F"/>
    <w:rsid w:val="00192330"/>
    <w:rsid w:val="002460A1"/>
    <w:rsid w:val="003A56D5"/>
    <w:rsid w:val="0044527F"/>
    <w:rsid w:val="0052650C"/>
    <w:rsid w:val="006140C6"/>
    <w:rsid w:val="006209D6"/>
    <w:rsid w:val="0066619C"/>
    <w:rsid w:val="006B155F"/>
    <w:rsid w:val="00747E94"/>
    <w:rsid w:val="00752B74"/>
    <w:rsid w:val="00854ED9"/>
    <w:rsid w:val="008712D5"/>
    <w:rsid w:val="00896F65"/>
    <w:rsid w:val="008B058B"/>
    <w:rsid w:val="008E1275"/>
    <w:rsid w:val="00950319"/>
    <w:rsid w:val="00A410EE"/>
    <w:rsid w:val="00A52DC3"/>
    <w:rsid w:val="00B50E36"/>
    <w:rsid w:val="00BA08C6"/>
    <w:rsid w:val="00C56969"/>
    <w:rsid w:val="00C96487"/>
    <w:rsid w:val="00CE43D2"/>
    <w:rsid w:val="00D40F46"/>
    <w:rsid w:val="00D62487"/>
    <w:rsid w:val="00DB60A1"/>
    <w:rsid w:val="00E506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57C3A"/>
  <w15:docId w15:val="{24B1A814-76D7-4B5C-B244-58C655C07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C96487"/>
    <w:pPr>
      <w:tabs>
        <w:tab w:val="center" w:pos="4536"/>
        <w:tab w:val="right" w:pos="9072"/>
      </w:tabs>
    </w:pPr>
  </w:style>
  <w:style w:type="character" w:customStyle="1" w:styleId="En-tteCar">
    <w:name w:val="En-tête Car"/>
    <w:basedOn w:val="Policepardfaut"/>
    <w:link w:val="En-tte"/>
    <w:uiPriority w:val="99"/>
    <w:rsid w:val="00C96487"/>
  </w:style>
  <w:style w:type="paragraph" w:styleId="Pieddepage">
    <w:name w:val="footer"/>
    <w:basedOn w:val="Normal"/>
    <w:link w:val="PieddepageCar"/>
    <w:uiPriority w:val="99"/>
    <w:unhideWhenUsed/>
    <w:rsid w:val="00C96487"/>
    <w:pPr>
      <w:tabs>
        <w:tab w:val="center" w:pos="4536"/>
        <w:tab w:val="right" w:pos="9072"/>
      </w:tabs>
    </w:pPr>
  </w:style>
  <w:style w:type="character" w:customStyle="1" w:styleId="PieddepageCar">
    <w:name w:val="Pied de page Car"/>
    <w:basedOn w:val="Policepardfaut"/>
    <w:link w:val="Pieddepage"/>
    <w:uiPriority w:val="99"/>
    <w:rsid w:val="00C96487"/>
  </w:style>
  <w:style w:type="character" w:styleId="Accentuation">
    <w:name w:val="Emphasis"/>
    <w:basedOn w:val="Policepardfaut"/>
    <w:uiPriority w:val="20"/>
    <w:qFormat/>
    <w:rsid w:val="008712D5"/>
    <w:rPr>
      <w:i/>
      <w:iCs/>
    </w:rPr>
  </w:style>
  <w:style w:type="paragraph" w:styleId="Paragraphedeliste">
    <w:name w:val="List Paragraph"/>
    <w:basedOn w:val="Normal"/>
    <w:uiPriority w:val="34"/>
    <w:qFormat/>
    <w:rsid w:val="00747E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251</Words>
  <Characters>1381</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Mocoeur, Sandrine (GOLBEY)</dc:creator>
  <cp:lastModifiedBy>Laurent MARCOUX</cp:lastModifiedBy>
  <cp:revision>4</cp:revision>
  <dcterms:created xsi:type="dcterms:W3CDTF">2020-11-11T20:49:00Z</dcterms:created>
  <dcterms:modified xsi:type="dcterms:W3CDTF">2020-11-11T22:54:00Z</dcterms:modified>
</cp:coreProperties>
</file>